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1810" w:rsidRPr="008B1810" w:rsidRDefault="008B1810" w:rsidP="008B1810">
      <w:pPr>
        <w:spacing w:after="0" w:line="480" w:lineRule="auto"/>
        <w:rPr>
          <w:rFonts w:ascii="Times New Roman" w:hAnsi="Times New Roman" w:cs="Times New Roman"/>
          <w:sz w:val="24"/>
          <w:szCs w:val="24"/>
        </w:rPr>
      </w:pPr>
    </w:p>
    <w:p w:rsidR="008B1810" w:rsidRPr="008B1810" w:rsidRDefault="008B1810" w:rsidP="008B1810">
      <w:pPr>
        <w:spacing w:after="0" w:line="480" w:lineRule="auto"/>
        <w:rPr>
          <w:rFonts w:ascii="Times New Roman" w:hAnsi="Times New Roman" w:cs="Times New Roman"/>
          <w:sz w:val="24"/>
          <w:szCs w:val="24"/>
        </w:rPr>
      </w:pPr>
    </w:p>
    <w:p w:rsidR="008B1810" w:rsidRPr="008B1810" w:rsidRDefault="008B1810" w:rsidP="008B1810">
      <w:pPr>
        <w:spacing w:after="0" w:line="480" w:lineRule="auto"/>
        <w:rPr>
          <w:rFonts w:ascii="Times New Roman" w:hAnsi="Times New Roman" w:cs="Times New Roman"/>
          <w:sz w:val="24"/>
          <w:szCs w:val="24"/>
        </w:rPr>
      </w:pPr>
    </w:p>
    <w:p w:rsidR="008B1810" w:rsidRPr="008B1810" w:rsidRDefault="008B1810" w:rsidP="008B1810">
      <w:pPr>
        <w:spacing w:after="0" w:line="480" w:lineRule="auto"/>
        <w:rPr>
          <w:rFonts w:ascii="Times New Roman" w:hAnsi="Times New Roman" w:cs="Times New Roman"/>
          <w:sz w:val="24"/>
          <w:szCs w:val="24"/>
        </w:rPr>
      </w:pPr>
    </w:p>
    <w:p w:rsidR="008B1810" w:rsidRPr="008B1810" w:rsidRDefault="008B1810" w:rsidP="008B1810">
      <w:pPr>
        <w:spacing w:after="0" w:line="480" w:lineRule="auto"/>
        <w:rPr>
          <w:rFonts w:ascii="Times New Roman" w:hAnsi="Times New Roman" w:cs="Times New Roman"/>
          <w:sz w:val="24"/>
          <w:szCs w:val="24"/>
        </w:rPr>
      </w:pPr>
    </w:p>
    <w:p w:rsidR="008B1810" w:rsidRPr="008B1810" w:rsidRDefault="008B1810" w:rsidP="008B1810">
      <w:pPr>
        <w:spacing w:after="0" w:line="480" w:lineRule="auto"/>
        <w:rPr>
          <w:rFonts w:ascii="Times New Roman" w:hAnsi="Times New Roman" w:cs="Times New Roman"/>
          <w:sz w:val="24"/>
          <w:szCs w:val="24"/>
        </w:rPr>
      </w:pPr>
    </w:p>
    <w:p w:rsidR="008B1810" w:rsidRPr="008B1810" w:rsidRDefault="008B1810" w:rsidP="008B1810">
      <w:pPr>
        <w:spacing w:after="0" w:line="480" w:lineRule="auto"/>
        <w:rPr>
          <w:rFonts w:ascii="Times New Roman" w:hAnsi="Times New Roman" w:cs="Times New Roman"/>
          <w:sz w:val="24"/>
          <w:szCs w:val="24"/>
        </w:rPr>
      </w:pPr>
    </w:p>
    <w:p w:rsidR="008B1810" w:rsidRPr="008B1810" w:rsidRDefault="008B1810" w:rsidP="008B1810">
      <w:pPr>
        <w:spacing w:after="0" w:line="480" w:lineRule="auto"/>
        <w:rPr>
          <w:rFonts w:ascii="Times New Roman" w:hAnsi="Times New Roman" w:cs="Times New Roman"/>
          <w:sz w:val="24"/>
          <w:szCs w:val="24"/>
        </w:rPr>
      </w:pPr>
    </w:p>
    <w:p w:rsidR="008B1810" w:rsidRPr="008B1810" w:rsidRDefault="008B1810" w:rsidP="008B1810">
      <w:pPr>
        <w:spacing w:after="0" w:line="480" w:lineRule="auto"/>
        <w:rPr>
          <w:rFonts w:ascii="Times New Roman" w:hAnsi="Times New Roman" w:cs="Times New Roman"/>
          <w:sz w:val="24"/>
          <w:szCs w:val="24"/>
        </w:rPr>
      </w:pPr>
    </w:p>
    <w:p w:rsidR="008B1810" w:rsidRPr="008B1810" w:rsidRDefault="008B1810" w:rsidP="008B1810">
      <w:pPr>
        <w:spacing w:after="0" w:line="480" w:lineRule="auto"/>
        <w:rPr>
          <w:rFonts w:ascii="Times New Roman" w:hAnsi="Times New Roman" w:cs="Times New Roman"/>
          <w:sz w:val="24"/>
          <w:szCs w:val="24"/>
        </w:rPr>
      </w:pPr>
    </w:p>
    <w:p w:rsidR="008B1810" w:rsidRPr="008B1810" w:rsidRDefault="008B1810" w:rsidP="008B1810">
      <w:pPr>
        <w:spacing w:after="0" w:line="480" w:lineRule="auto"/>
        <w:jc w:val="center"/>
        <w:rPr>
          <w:rFonts w:ascii="Times New Roman" w:hAnsi="Times New Roman" w:cs="Times New Roman"/>
          <w:sz w:val="24"/>
          <w:szCs w:val="24"/>
        </w:rPr>
      </w:pPr>
      <w:r w:rsidRPr="008B1810">
        <w:rPr>
          <w:rFonts w:ascii="Times New Roman" w:hAnsi="Times New Roman" w:cs="Times New Roman"/>
          <w:sz w:val="24"/>
          <w:szCs w:val="24"/>
        </w:rPr>
        <w:t>Smooth Transitioning from Military Service to Civilian Life</w:t>
      </w:r>
      <w:r>
        <w:rPr>
          <w:rFonts w:ascii="Times New Roman" w:hAnsi="Times New Roman" w:cs="Times New Roman"/>
          <w:sz w:val="24"/>
          <w:szCs w:val="24"/>
        </w:rPr>
        <w:t xml:space="preserve"> – Annotated Bibliography</w:t>
      </w:r>
    </w:p>
    <w:p w:rsidR="008B1810" w:rsidRPr="008B1810" w:rsidRDefault="008B1810" w:rsidP="008B1810">
      <w:pPr>
        <w:spacing w:after="0" w:line="480" w:lineRule="auto"/>
        <w:jc w:val="center"/>
        <w:rPr>
          <w:rFonts w:ascii="Times New Roman" w:hAnsi="Times New Roman" w:cs="Times New Roman"/>
          <w:sz w:val="24"/>
          <w:szCs w:val="24"/>
        </w:rPr>
      </w:pPr>
      <w:r w:rsidRPr="008B1810">
        <w:rPr>
          <w:rFonts w:ascii="Times New Roman" w:hAnsi="Times New Roman" w:cs="Times New Roman"/>
          <w:sz w:val="24"/>
          <w:szCs w:val="24"/>
        </w:rPr>
        <w:t>Name</w:t>
      </w:r>
    </w:p>
    <w:p w:rsidR="008B1810" w:rsidRPr="008B1810" w:rsidRDefault="008B1810" w:rsidP="008B1810">
      <w:pPr>
        <w:spacing w:after="0" w:line="480" w:lineRule="auto"/>
        <w:jc w:val="center"/>
        <w:rPr>
          <w:rFonts w:ascii="Times New Roman" w:hAnsi="Times New Roman" w:cs="Times New Roman"/>
          <w:sz w:val="24"/>
          <w:szCs w:val="24"/>
        </w:rPr>
      </w:pPr>
      <w:r w:rsidRPr="008B1810">
        <w:rPr>
          <w:rFonts w:ascii="Times New Roman" w:hAnsi="Times New Roman" w:cs="Times New Roman"/>
          <w:sz w:val="24"/>
          <w:szCs w:val="24"/>
        </w:rPr>
        <w:t>Course</w:t>
      </w:r>
    </w:p>
    <w:p w:rsidR="008B1810" w:rsidRPr="008B1810" w:rsidRDefault="008B1810" w:rsidP="008B1810">
      <w:pPr>
        <w:spacing w:after="0" w:line="480" w:lineRule="auto"/>
        <w:jc w:val="center"/>
        <w:rPr>
          <w:rFonts w:ascii="Times New Roman" w:hAnsi="Times New Roman" w:cs="Times New Roman"/>
          <w:sz w:val="24"/>
          <w:szCs w:val="24"/>
        </w:rPr>
      </w:pPr>
      <w:r w:rsidRPr="008B1810">
        <w:rPr>
          <w:rFonts w:ascii="Times New Roman" w:hAnsi="Times New Roman" w:cs="Times New Roman"/>
          <w:sz w:val="24"/>
          <w:szCs w:val="24"/>
        </w:rPr>
        <w:t>Affiliation</w:t>
      </w:r>
    </w:p>
    <w:p w:rsidR="008B1810" w:rsidRDefault="008B1810" w:rsidP="008B1810">
      <w:pPr>
        <w:spacing w:after="0" w:line="480" w:lineRule="auto"/>
        <w:jc w:val="center"/>
        <w:rPr>
          <w:rFonts w:ascii="Times New Roman" w:hAnsi="Times New Roman" w:cs="Times New Roman"/>
          <w:sz w:val="24"/>
          <w:szCs w:val="24"/>
        </w:rPr>
      </w:pPr>
      <w:r w:rsidRPr="008B1810">
        <w:rPr>
          <w:rFonts w:ascii="Times New Roman" w:hAnsi="Times New Roman" w:cs="Times New Roman"/>
          <w:sz w:val="24"/>
          <w:szCs w:val="24"/>
        </w:rPr>
        <w:t>Date</w:t>
      </w:r>
    </w:p>
    <w:p w:rsidR="008B1810" w:rsidRDefault="008B1810">
      <w:pPr>
        <w:rPr>
          <w:rFonts w:ascii="Times New Roman" w:hAnsi="Times New Roman" w:cs="Times New Roman"/>
          <w:sz w:val="24"/>
          <w:szCs w:val="24"/>
        </w:rPr>
      </w:pPr>
      <w:r>
        <w:rPr>
          <w:rFonts w:ascii="Times New Roman" w:hAnsi="Times New Roman" w:cs="Times New Roman"/>
          <w:sz w:val="24"/>
          <w:szCs w:val="24"/>
        </w:rPr>
        <w:br w:type="page"/>
      </w:r>
    </w:p>
    <w:p w:rsidR="008B1810" w:rsidRPr="00C361FE" w:rsidRDefault="008B1810" w:rsidP="003922DA">
      <w:pPr>
        <w:spacing w:after="0" w:line="480" w:lineRule="auto"/>
        <w:ind w:left="720" w:hanging="720"/>
        <w:jc w:val="center"/>
        <w:rPr>
          <w:rFonts w:ascii="Times New Roman" w:hAnsi="Times New Roman" w:cs="Times New Roman"/>
          <w:sz w:val="24"/>
          <w:szCs w:val="24"/>
        </w:rPr>
      </w:pPr>
      <w:r w:rsidRPr="00C361FE">
        <w:rPr>
          <w:rFonts w:ascii="Times New Roman" w:hAnsi="Times New Roman" w:cs="Times New Roman"/>
          <w:sz w:val="24"/>
          <w:szCs w:val="24"/>
        </w:rPr>
        <w:lastRenderedPageBreak/>
        <w:t xml:space="preserve">Smooth Transitioning </w:t>
      </w:r>
      <w:r w:rsidR="00CD6DC5" w:rsidRPr="00C361FE">
        <w:rPr>
          <w:rFonts w:ascii="Times New Roman" w:hAnsi="Times New Roman" w:cs="Times New Roman"/>
          <w:sz w:val="24"/>
          <w:szCs w:val="24"/>
        </w:rPr>
        <w:t>from</w:t>
      </w:r>
      <w:r w:rsidRPr="00C361FE">
        <w:rPr>
          <w:rFonts w:ascii="Times New Roman" w:hAnsi="Times New Roman" w:cs="Times New Roman"/>
          <w:sz w:val="24"/>
          <w:szCs w:val="24"/>
        </w:rPr>
        <w:t xml:space="preserve"> Military Service to Civilian life – Annotated Bibliography</w:t>
      </w:r>
    </w:p>
    <w:p w:rsidR="006F265E" w:rsidRDefault="006F265E" w:rsidP="003922DA">
      <w:pPr>
        <w:spacing w:after="0" w:line="480" w:lineRule="auto"/>
        <w:ind w:left="720" w:hanging="720"/>
        <w:rPr>
          <w:rFonts w:ascii="Times New Roman" w:hAnsi="Times New Roman" w:cs="Times New Roman"/>
          <w:sz w:val="24"/>
          <w:szCs w:val="24"/>
        </w:rPr>
      </w:pPr>
      <w:proofErr w:type="spellStart"/>
      <w:r w:rsidRPr="003922DA">
        <w:rPr>
          <w:rFonts w:ascii="Times New Roman" w:hAnsi="Times New Roman" w:cs="Times New Roman"/>
          <w:b/>
          <w:sz w:val="24"/>
          <w:szCs w:val="24"/>
        </w:rPr>
        <w:t>Brunger</w:t>
      </w:r>
      <w:proofErr w:type="spellEnd"/>
      <w:r w:rsidRPr="003922DA">
        <w:rPr>
          <w:rFonts w:ascii="Times New Roman" w:hAnsi="Times New Roman" w:cs="Times New Roman"/>
          <w:b/>
          <w:sz w:val="24"/>
          <w:szCs w:val="24"/>
        </w:rPr>
        <w:t xml:space="preserve">, H., </w:t>
      </w:r>
      <w:proofErr w:type="spellStart"/>
      <w:r w:rsidRPr="003922DA">
        <w:rPr>
          <w:rFonts w:ascii="Times New Roman" w:hAnsi="Times New Roman" w:cs="Times New Roman"/>
          <w:b/>
          <w:sz w:val="24"/>
          <w:szCs w:val="24"/>
        </w:rPr>
        <w:t>Serrato</w:t>
      </w:r>
      <w:proofErr w:type="spellEnd"/>
      <w:r w:rsidRPr="003922DA">
        <w:rPr>
          <w:rFonts w:ascii="Times New Roman" w:hAnsi="Times New Roman" w:cs="Times New Roman"/>
          <w:b/>
          <w:sz w:val="24"/>
          <w:szCs w:val="24"/>
        </w:rPr>
        <w:t>, J., &amp; Ogden, J. (2013). “No man's land”: the transition to civilian life. Journal of Aggression, Conflict and Peace Research, 5(2), 86-100</w:t>
      </w:r>
      <w:r w:rsidRPr="006F265E">
        <w:rPr>
          <w:rFonts w:ascii="Times New Roman" w:hAnsi="Times New Roman" w:cs="Times New Roman"/>
          <w:sz w:val="24"/>
          <w:szCs w:val="24"/>
        </w:rPr>
        <w:t>.</w:t>
      </w:r>
    </w:p>
    <w:p w:rsidR="00CF4856" w:rsidRDefault="0017652B" w:rsidP="006F265E">
      <w:pPr>
        <w:spacing w:after="0" w:line="480" w:lineRule="auto"/>
        <w:rPr>
          <w:rFonts w:ascii="Times New Roman" w:hAnsi="Times New Roman" w:cs="Times New Roman"/>
          <w:sz w:val="24"/>
          <w:szCs w:val="24"/>
        </w:rPr>
      </w:pPr>
      <w:r>
        <w:rPr>
          <w:rFonts w:ascii="Times New Roman" w:hAnsi="Times New Roman" w:cs="Times New Roman"/>
          <w:sz w:val="24"/>
          <w:szCs w:val="24"/>
        </w:rPr>
        <w:tab/>
        <w:t>The authors of this article utilize the experiences of 11 ex-servicemen to identify the challenges and process of transitioning to civilian life. The ability or inability to secure employment and related factors are also discussed. The process of transitioning involves shifting one’s identity</w:t>
      </w:r>
      <w:r w:rsidR="003922DA">
        <w:rPr>
          <w:rFonts w:ascii="Times New Roman" w:hAnsi="Times New Roman" w:cs="Times New Roman"/>
          <w:sz w:val="24"/>
          <w:szCs w:val="24"/>
        </w:rPr>
        <w:t xml:space="preserve"> from that of a soldier to that of a civilian. Military life has unique characteristics and one of the major challenges faced is the sudden change from the feeling of security and employment to an environment of uncertainty. </w:t>
      </w:r>
    </w:p>
    <w:p w:rsidR="0017652B" w:rsidRDefault="003922DA" w:rsidP="00CF485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To ease the transition process, authors that a change in the disc</w:t>
      </w:r>
      <w:r w:rsidR="00C361FE">
        <w:rPr>
          <w:rFonts w:ascii="Times New Roman" w:hAnsi="Times New Roman" w:cs="Times New Roman"/>
          <w:sz w:val="24"/>
          <w:szCs w:val="24"/>
        </w:rPr>
        <w:t>harge process should be implemented</w:t>
      </w:r>
      <w:r>
        <w:rPr>
          <w:rFonts w:ascii="Times New Roman" w:hAnsi="Times New Roman" w:cs="Times New Roman"/>
          <w:sz w:val="24"/>
          <w:szCs w:val="24"/>
        </w:rPr>
        <w:t>. This will include addressing issues such as trauma, unemployment or the sudden loss of security.</w:t>
      </w:r>
      <w:r w:rsidR="00C361FE">
        <w:rPr>
          <w:rFonts w:ascii="Times New Roman" w:hAnsi="Times New Roman" w:cs="Times New Roman"/>
          <w:sz w:val="24"/>
          <w:szCs w:val="24"/>
        </w:rPr>
        <w:t xml:space="preserve"> Vocational advice is barely enough to address real issues that ex-service men face after discharge. The major limitation identified in this article </w:t>
      </w:r>
      <w:r w:rsidR="00CF4856">
        <w:rPr>
          <w:rFonts w:ascii="Times New Roman" w:hAnsi="Times New Roman" w:cs="Times New Roman"/>
          <w:sz w:val="24"/>
          <w:szCs w:val="24"/>
        </w:rPr>
        <w:t>is that</w:t>
      </w:r>
      <w:r w:rsidR="00C361FE">
        <w:rPr>
          <w:rFonts w:ascii="Times New Roman" w:hAnsi="Times New Roman" w:cs="Times New Roman"/>
          <w:sz w:val="24"/>
          <w:szCs w:val="24"/>
        </w:rPr>
        <w:t xml:space="preserve"> the respondents were only male and therefore the opinions may not be fully representative of both male and female veterans.</w:t>
      </w:r>
    </w:p>
    <w:p w:rsidR="006F265E" w:rsidRPr="002739BE" w:rsidRDefault="006F265E" w:rsidP="002739BE">
      <w:pPr>
        <w:spacing w:after="0" w:line="480" w:lineRule="auto"/>
        <w:ind w:left="720" w:hanging="720"/>
        <w:rPr>
          <w:rFonts w:ascii="Times New Roman" w:hAnsi="Times New Roman" w:cs="Times New Roman"/>
          <w:b/>
          <w:sz w:val="24"/>
          <w:szCs w:val="24"/>
        </w:rPr>
      </w:pPr>
      <w:proofErr w:type="spellStart"/>
      <w:r w:rsidRPr="002739BE">
        <w:rPr>
          <w:rFonts w:ascii="Times New Roman" w:hAnsi="Times New Roman" w:cs="Times New Roman"/>
          <w:b/>
          <w:sz w:val="24"/>
          <w:szCs w:val="24"/>
        </w:rPr>
        <w:t>Hachey</w:t>
      </w:r>
      <w:proofErr w:type="spellEnd"/>
      <w:r w:rsidRPr="002739BE">
        <w:rPr>
          <w:rFonts w:ascii="Times New Roman" w:hAnsi="Times New Roman" w:cs="Times New Roman"/>
          <w:b/>
          <w:sz w:val="24"/>
          <w:szCs w:val="24"/>
        </w:rPr>
        <w:t xml:space="preserve">, K. K., </w:t>
      </w:r>
      <w:proofErr w:type="spellStart"/>
      <w:r w:rsidRPr="002739BE">
        <w:rPr>
          <w:rFonts w:ascii="Times New Roman" w:hAnsi="Times New Roman" w:cs="Times New Roman"/>
          <w:b/>
          <w:sz w:val="24"/>
          <w:szCs w:val="24"/>
        </w:rPr>
        <w:t>Sudom</w:t>
      </w:r>
      <w:proofErr w:type="spellEnd"/>
      <w:r w:rsidRPr="002739BE">
        <w:rPr>
          <w:rFonts w:ascii="Times New Roman" w:hAnsi="Times New Roman" w:cs="Times New Roman"/>
          <w:b/>
          <w:sz w:val="24"/>
          <w:szCs w:val="24"/>
        </w:rPr>
        <w:t xml:space="preserve">, K., Sweet, J., MacLean, M. B., &amp; </w:t>
      </w:r>
      <w:proofErr w:type="spellStart"/>
      <w:r w:rsidRPr="002739BE">
        <w:rPr>
          <w:rFonts w:ascii="Times New Roman" w:hAnsi="Times New Roman" w:cs="Times New Roman"/>
          <w:b/>
          <w:sz w:val="24"/>
          <w:szCs w:val="24"/>
        </w:rPr>
        <w:t>VanTil</w:t>
      </w:r>
      <w:proofErr w:type="spellEnd"/>
      <w:r w:rsidRPr="002739BE">
        <w:rPr>
          <w:rFonts w:ascii="Times New Roman" w:hAnsi="Times New Roman" w:cs="Times New Roman"/>
          <w:b/>
          <w:sz w:val="24"/>
          <w:szCs w:val="24"/>
        </w:rPr>
        <w:t>, L. D. (2016). Transitioning from military to civilian life: the role of mastery and social support. Journal of Military, Veteran and Family Health, 2(1), 9-18.</w:t>
      </w:r>
    </w:p>
    <w:p w:rsidR="008214C1" w:rsidRDefault="00B9735C" w:rsidP="008214C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w:t>
      </w:r>
      <w:r w:rsidR="00CE525D">
        <w:rPr>
          <w:rFonts w:ascii="Times New Roman" w:hAnsi="Times New Roman" w:cs="Times New Roman"/>
          <w:sz w:val="24"/>
          <w:szCs w:val="24"/>
        </w:rPr>
        <w:t xml:space="preserve">journal article examines two variables, mastery and the social environment and their role in ensuring the ease of the adjustment process of veterans to civilian life. Mastery refers to how much an individual is in control of their own life while the social environment consists of both the family and the community. </w:t>
      </w:r>
    </w:p>
    <w:p w:rsidR="001A5C3C" w:rsidRDefault="00CE525D" w:rsidP="008214C1">
      <w:pPr>
        <w:spacing w:after="0" w:line="480" w:lineRule="auto"/>
        <w:ind w:firstLine="720"/>
        <w:rPr>
          <w:rFonts w:ascii="Times New Roman" w:hAnsi="Times New Roman" w:cs="Times New Roman"/>
          <w:sz w:val="24"/>
          <w:szCs w:val="24"/>
        </w:rPr>
      </w:pPr>
      <w:r w:rsidRPr="00CE525D">
        <w:rPr>
          <w:rFonts w:ascii="Times New Roman" w:hAnsi="Times New Roman" w:cs="Times New Roman"/>
          <w:sz w:val="24"/>
          <w:szCs w:val="24"/>
        </w:rPr>
        <w:lastRenderedPageBreak/>
        <w:t>The Survey on Transition to Civilian Life (STCL)</w:t>
      </w:r>
      <w:r>
        <w:rPr>
          <w:rFonts w:ascii="Times New Roman" w:hAnsi="Times New Roman" w:cs="Times New Roman"/>
          <w:sz w:val="24"/>
          <w:szCs w:val="24"/>
        </w:rPr>
        <w:t xml:space="preserve"> focused on four variables including life stress, physical and mental health conditions, the social environment and the adjustment to civilian life. Higher levels of mastery and social support were found to be associated with lower stress levels, and fewer symptoms of anxiety, PTSD and depression hence an easier transition from military service to </w:t>
      </w:r>
      <w:r w:rsidR="002739BE">
        <w:rPr>
          <w:rFonts w:ascii="Times New Roman" w:hAnsi="Times New Roman" w:cs="Times New Roman"/>
          <w:sz w:val="24"/>
          <w:szCs w:val="24"/>
        </w:rPr>
        <w:t>civilian life.</w:t>
      </w:r>
      <w:r w:rsidR="008214C1">
        <w:rPr>
          <w:rFonts w:ascii="Times New Roman" w:hAnsi="Times New Roman" w:cs="Times New Roman"/>
          <w:sz w:val="24"/>
          <w:szCs w:val="24"/>
        </w:rPr>
        <w:t xml:space="preserve"> </w:t>
      </w:r>
      <w:r w:rsidR="001A5C3C">
        <w:rPr>
          <w:rFonts w:ascii="Times New Roman" w:hAnsi="Times New Roman" w:cs="Times New Roman"/>
          <w:sz w:val="24"/>
          <w:szCs w:val="24"/>
        </w:rPr>
        <w:t xml:space="preserve">The authors suggest that </w:t>
      </w:r>
      <w:r w:rsidR="008214C1">
        <w:rPr>
          <w:rFonts w:ascii="Times New Roman" w:hAnsi="Times New Roman" w:cs="Times New Roman"/>
          <w:sz w:val="24"/>
          <w:szCs w:val="24"/>
        </w:rPr>
        <w:t>increasing trainings to enhance personal characteristics such as mastery and ensuring that veterans have strong social support networks are key in ensuring a smooth transition.</w:t>
      </w:r>
    </w:p>
    <w:p w:rsidR="006F265E" w:rsidRPr="00A57CE2" w:rsidRDefault="006F265E" w:rsidP="00A57CE2">
      <w:pPr>
        <w:spacing w:after="0" w:line="480" w:lineRule="auto"/>
        <w:ind w:left="720" w:hanging="720"/>
        <w:rPr>
          <w:rFonts w:ascii="Times New Roman" w:hAnsi="Times New Roman" w:cs="Times New Roman"/>
          <w:b/>
          <w:sz w:val="24"/>
          <w:szCs w:val="24"/>
        </w:rPr>
      </w:pPr>
      <w:r w:rsidRPr="00A57CE2">
        <w:rPr>
          <w:rFonts w:ascii="Times New Roman" w:hAnsi="Times New Roman" w:cs="Times New Roman"/>
          <w:b/>
          <w:sz w:val="24"/>
          <w:szCs w:val="24"/>
        </w:rPr>
        <w:t>Lindsay Schmidt, O. T. S., &amp; Simmonds, G. Problems of Combat Veterans Transitioning to Civilian Life.</w:t>
      </w:r>
    </w:p>
    <w:p w:rsidR="004F08C5" w:rsidRDefault="004F08C5" w:rsidP="006F265E">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This article begins by highlighting shocking statistics on the US veterans that are serving sentences in prison mainly due to violence related issues. Emphasis has been laid on the need to develop a deeper understanding of the problems that veterans face and give insights to the community and health care practitioners on </w:t>
      </w:r>
      <w:r w:rsidR="00A57CE2">
        <w:rPr>
          <w:rFonts w:ascii="Times New Roman" w:hAnsi="Times New Roman" w:cs="Times New Roman"/>
          <w:sz w:val="24"/>
          <w:szCs w:val="24"/>
        </w:rPr>
        <w:t>the kind of support needed for a smooth transition. Among the variables highlighted, there is support from family and peers, the number of deployments, the level of education, culture shock, and the ability to apply skills gained in military service to civilian work. The authors conclude that understanding the unique needs of veterans relative to their individual experiences and characteristics is crucial in assisting them to have a smooth transition to civilian life.</w:t>
      </w:r>
    </w:p>
    <w:p w:rsidR="000C0423" w:rsidRDefault="000C0423" w:rsidP="0017652B">
      <w:pPr>
        <w:spacing w:after="0" w:line="480" w:lineRule="auto"/>
        <w:ind w:left="720" w:hanging="720"/>
        <w:rPr>
          <w:rFonts w:ascii="Times New Roman" w:hAnsi="Times New Roman" w:cs="Times New Roman"/>
          <w:sz w:val="24"/>
          <w:szCs w:val="24"/>
        </w:rPr>
      </w:pPr>
      <w:r w:rsidRPr="0017652B">
        <w:rPr>
          <w:rFonts w:ascii="Times New Roman" w:hAnsi="Times New Roman" w:cs="Times New Roman"/>
          <w:b/>
          <w:sz w:val="24"/>
          <w:szCs w:val="24"/>
        </w:rPr>
        <w:t>Morin, R. (2011). The difficult transition from military to civilian life. Washington, DC: Pew Research Center</w:t>
      </w:r>
      <w:r w:rsidRPr="000C0423">
        <w:rPr>
          <w:rFonts w:ascii="Times New Roman" w:hAnsi="Times New Roman" w:cs="Times New Roman"/>
          <w:sz w:val="24"/>
          <w:szCs w:val="24"/>
        </w:rPr>
        <w:t>.</w:t>
      </w:r>
    </w:p>
    <w:p w:rsidR="00277E08" w:rsidRDefault="00277E08" w:rsidP="006F265E">
      <w:pPr>
        <w:spacing w:after="0" w:line="480" w:lineRule="auto"/>
        <w:rPr>
          <w:rFonts w:ascii="Times New Roman" w:hAnsi="Times New Roman" w:cs="Times New Roman"/>
          <w:sz w:val="24"/>
          <w:szCs w:val="24"/>
        </w:rPr>
      </w:pPr>
      <w:r>
        <w:rPr>
          <w:rFonts w:ascii="Times New Roman" w:hAnsi="Times New Roman" w:cs="Times New Roman"/>
          <w:sz w:val="24"/>
          <w:szCs w:val="24"/>
        </w:rPr>
        <w:tab/>
        <w:t>The authors of this article identify</w:t>
      </w:r>
      <w:r w:rsidR="004A3869">
        <w:rPr>
          <w:rFonts w:ascii="Times New Roman" w:hAnsi="Times New Roman" w:cs="Times New Roman"/>
          <w:sz w:val="24"/>
          <w:szCs w:val="24"/>
        </w:rPr>
        <w:t xml:space="preserve"> factors that can predict an easy or hard re-entry of soldiers into civilian life. The ones associated with an easy transition include being a college graduate, higher ranking officers, a higher understanding of the mission and finally attendance of </w:t>
      </w:r>
      <w:r w:rsidR="004A3869">
        <w:rPr>
          <w:rFonts w:ascii="Times New Roman" w:hAnsi="Times New Roman" w:cs="Times New Roman"/>
          <w:sz w:val="24"/>
          <w:szCs w:val="24"/>
        </w:rPr>
        <w:lastRenderedPageBreak/>
        <w:t>religious services. On the other hand, transition is more difficult for veterans who were married while serving, those who were seriously injured or experienced a traumatic event, knew someone who was injured, served in combat or were post 9</w:t>
      </w:r>
      <w:r w:rsidR="0017652B">
        <w:rPr>
          <w:rFonts w:ascii="Times New Roman" w:hAnsi="Times New Roman" w:cs="Times New Roman"/>
          <w:sz w:val="24"/>
          <w:szCs w:val="24"/>
        </w:rPr>
        <w:t xml:space="preserve">/11 veterans. If we can predict the chances that a veteran will have a smooth or hard transition, we can design appropriate tactics to apply for </w:t>
      </w:r>
      <w:proofErr w:type="gramStart"/>
      <w:r w:rsidR="0017652B">
        <w:rPr>
          <w:rFonts w:ascii="Times New Roman" w:hAnsi="Times New Roman" w:cs="Times New Roman"/>
          <w:sz w:val="24"/>
          <w:szCs w:val="24"/>
        </w:rPr>
        <w:t>each individual</w:t>
      </w:r>
      <w:proofErr w:type="gramEnd"/>
      <w:r w:rsidR="0017652B">
        <w:rPr>
          <w:rFonts w:ascii="Times New Roman" w:hAnsi="Times New Roman" w:cs="Times New Roman"/>
          <w:sz w:val="24"/>
          <w:szCs w:val="24"/>
        </w:rPr>
        <w:t>.</w:t>
      </w:r>
    </w:p>
    <w:p w:rsidR="008B1810" w:rsidRDefault="006F265E" w:rsidP="00F17AC2">
      <w:pPr>
        <w:spacing w:after="0" w:line="480" w:lineRule="auto"/>
        <w:ind w:left="720" w:hanging="720"/>
        <w:rPr>
          <w:rFonts w:ascii="Times New Roman" w:hAnsi="Times New Roman" w:cs="Times New Roman"/>
          <w:sz w:val="24"/>
          <w:szCs w:val="24"/>
        </w:rPr>
      </w:pPr>
      <w:r w:rsidRPr="00F17AC2">
        <w:rPr>
          <w:rFonts w:ascii="Times New Roman" w:hAnsi="Times New Roman" w:cs="Times New Roman"/>
          <w:b/>
          <w:sz w:val="24"/>
          <w:szCs w:val="24"/>
        </w:rPr>
        <w:t xml:space="preserve">Van </w:t>
      </w:r>
      <w:proofErr w:type="spellStart"/>
      <w:r w:rsidRPr="00F17AC2">
        <w:rPr>
          <w:rFonts w:ascii="Times New Roman" w:hAnsi="Times New Roman" w:cs="Times New Roman"/>
          <w:b/>
          <w:sz w:val="24"/>
          <w:szCs w:val="24"/>
        </w:rPr>
        <w:t>Staden</w:t>
      </w:r>
      <w:proofErr w:type="spellEnd"/>
      <w:r w:rsidRPr="00F17AC2">
        <w:rPr>
          <w:rFonts w:ascii="Times New Roman" w:hAnsi="Times New Roman" w:cs="Times New Roman"/>
          <w:b/>
          <w:sz w:val="24"/>
          <w:szCs w:val="24"/>
        </w:rPr>
        <w:t xml:space="preserve">, L., Fear, N. T., Iversen, A. C., French, C. E., </w:t>
      </w:r>
      <w:proofErr w:type="spellStart"/>
      <w:r w:rsidRPr="00F17AC2">
        <w:rPr>
          <w:rFonts w:ascii="Times New Roman" w:hAnsi="Times New Roman" w:cs="Times New Roman"/>
          <w:b/>
          <w:sz w:val="24"/>
          <w:szCs w:val="24"/>
        </w:rPr>
        <w:t>Dandeker</w:t>
      </w:r>
      <w:proofErr w:type="spellEnd"/>
      <w:r w:rsidRPr="00F17AC2">
        <w:rPr>
          <w:rFonts w:ascii="Times New Roman" w:hAnsi="Times New Roman" w:cs="Times New Roman"/>
          <w:b/>
          <w:sz w:val="24"/>
          <w:szCs w:val="24"/>
        </w:rPr>
        <w:t xml:space="preserve">, C., &amp; </w:t>
      </w:r>
      <w:proofErr w:type="spellStart"/>
      <w:r w:rsidRPr="00F17AC2">
        <w:rPr>
          <w:rFonts w:ascii="Times New Roman" w:hAnsi="Times New Roman" w:cs="Times New Roman"/>
          <w:b/>
          <w:sz w:val="24"/>
          <w:szCs w:val="24"/>
        </w:rPr>
        <w:t>Wessely</w:t>
      </w:r>
      <w:proofErr w:type="spellEnd"/>
      <w:r w:rsidRPr="00F17AC2">
        <w:rPr>
          <w:rFonts w:ascii="Times New Roman" w:hAnsi="Times New Roman" w:cs="Times New Roman"/>
          <w:b/>
          <w:sz w:val="24"/>
          <w:szCs w:val="24"/>
        </w:rPr>
        <w:t>, S. (2007). Transition back into civilian life: a study of personnel leaving the UK armed forces via “military prison”. Military medicine, 172(9), 925-930</w:t>
      </w:r>
      <w:r w:rsidRPr="006F265E">
        <w:rPr>
          <w:rFonts w:ascii="Times New Roman" w:hAnsi="Times New Roman" w:cs="Times New Roman"/>
          <w:sz w:val="24"/>
          <w:szCs w:val="24"/>
        </w:rPr>
        <w:t>.</w:t>
      </w:r>
    </w:p>
    <w:p w:rsidR="008124B8" w:rsidRPr="008B1810" w:rsidRDefault="008124B8" w:rsidP="00F17AC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journal article investigates factors that are associated with successful and unsuccessful transitions into civilian life for the UK armed forces that are forced to make an early exit and go through the e United Kingdom Military </w:t>
      </w:r>
      <w:r w:rsidRPr="008124B8">
        <w:rPr>
          <w:rFonts w:ascii="Times New Roman" w:hAnsi="Times New Roman" w:cs="Times New Roman"/>
          <w:sz w:val="24"/>
          <w:szCs w:val="24"/>
        </w:rPr>
        <w:t>Corrective Training Centre</w:t>
      </w:r>
      <w:r>
        <w:rPr>
          <w:rFonts w:ascii="Times New Roman" w:hAnsi="Times New Roman" w:cs="Times New Roman"/>
          <w:sz w:val="24"/>
          <w:szCs w:val="24"/>
        </w:rPr>
        <w:t xml:space="preserve">. This population was </w:t>
      </w:r>
      <w:r w:rsidR="00F17AC2">
        <w:rPr>
          <w:rFonts w:ascii="Times New Roman" w:hAnsi="Times New Roman" w:cs="Times New Roman"/>
          <w:sz w:val="24"/>
          <w:szCs w:val="24"/>
        </w:rPr>
        <w:t>studied,</w:t>
      </w:r>
      <w:r>
        <w:rPr>
          <w:rFonts w:ascii="Times New Roman" w:hAnsi="Times New Roman" w:cs="Times New Roman"/>
          <w:sz w:val="24"/>
          <w:szCs w:val="24"/>
        </w:rPr>
        <w:t xml:space="preserve"> and the results indicated that </w:t>
      </w:r>
      <w:r w:rsidR="00F17AC2">
        <w:rPr>
          <w:rFonts w:ascii="Times New Roman" w:hAnsi="Times New Roman" w:cs="Times New Roman"/>
          <w:sz w:val="24"/>
          <w:szCs w:val="24"/>
        </w:rPr>
        <w:t xml:space="preserve">some of the major factors that place veterans at a position of disadvantage in the adjustment process include poor state of mental health at the time of discharge, lack of a permanent home to get to and shorter sentence at the military prison. These are generally important issues that should be addressed appropriately </w:t>
      </w:r>
      <w:bookmarkStart w:id="0" w:name="_GoBack"/>
      <w:bookmarkEnd w:id="0"/>
      <w:r w:rsidR="00F17AC2">
        <w:rPr>
          <w:rFonts w:ascii="Times New Roman" w:hAnsi="Times New Roman" w:cs="Times New Roman"/>
          <w:sz w:val="24"/>
          <w:szCs w:val="24"/>
        </w:rPr>
        <w:t>before veterans leave the military prison to facilitate an easier transition into the civilian life.</w:t>
      </w:r>
    </w:p>
    <w:sectPr w:rsidR="008124B8" w:rsidRPr="008B1810" w:rsidSect="008B181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73C48" w:rsidRDefault="00273C48" w:rsidP="008B1810">
      <w:pPr>
        <w:spacing w:after="0" w:line="240" w:lineRule="auto"/>
      </w:pPr>
      <w:r>
        <w:separator/>
      </w:r>
    </w:p>
  </w:endnote>
  <w:endnote w:type="continuationSeparator" w:id="0">
    <w:p w:rsidR="00273C48" w:rsidRDefault="00273C48" w:rsidP="008B18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73C48" w:rsidRDefault="00273C48" w:rsidP="008B1810">
      <w:pPr>
        <w:spacing w:after="0" w:line="240" w:lineRule="auto"/>
      </w:pPr>
      <w:r>
        <w:separator/>
      </w:r>
    </w:p>
  </w:footnote>
  <w:footnote w:type="continuationSeparator" w:id="0">
    <w:p w:rsidR="00273C48" w:rsidRDefault="00273C48" w:rsidP="008B18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4856" w:rsidRDefault="00CF4856">
    <w:pPr>
      <w:pStyle w:val="Header"/>
    </w:pPr>
    <w:r w:rsidRPr="008B1810">
      <w:rPr>
        <w:rFonts w:ascii="Times New Roman" w:hAnsi="Times New Roman" w:cs="Times New Roman"/>
        <w:sz w:val="24"/>
        <w:szCs w:val="24"/>
      </w:rPr>
      <w:t>ANNOTATED BIBLIOGRAPHY</w:t>
    </w:r>
    <w:r>
      <w:rPr>
        <w:rFonts w:ascii="Times New Roman" w:hAnsi="Times New Roman" w:cs="Times New Roman"/>
        <w:sz w:val="24"/>
        <w:szCs w:val="24"/>
      </w:rPr>
      <w:t xml:space="preserve">                                                                                              </w:t>
    </w:r>
    <w:r w:rsidRPr="00CF4856">
      <w:rPr>
        <w:rFonts w:ascii="Times New Roman" w:hAnsi="Times New Roman" w:cs="Times New Roman"/>
        <w:sz w:val="24"/>
        <w:szCs w:val="24"/>
      </w:rPr>
      <w:fldChar w:fldCharType="begin"/>
    </w:r>
    <w:r w:rsidRPr="00CF4856">
      <w:rPr>
        <w:rFonts w:ascii="Times New Roman" w:hAnsi="Times New Roman" w:cs="Times New Roman"/>
        <w:sz w:val="24"/>
        <w:szCs w:val="24"/>
      </w:rPr>
      <w:instrText xml:space="preserve"> PAGE   \* MERGEFORMAT </w:instrText>
    </w:r>
    <w:r w:rsidRPr="00CF4856">
      <w:rPr>
        <w:rFonts w:ascii="Times New Roman" w:hAnsi="Times New Roman" w:cs="Times New Roman"/>
        <w:sz w:val="24"/>
        <w:szCs w:val="24"/>
      </w:rPr>
      <w:fldChar w:fldCharType="separate"/>
    </w:r>
    <w:r w:rsidR="00174D06">
      <w:rPr>
        <w:rFonts w:ascii="Times New Roman" w:hAnsi="Times New Roman" w:cs="Times New Roman"/>
        <w:noProof/>
        <w:sz w:val="24"/>
        <w:szCs w:val="24"/>
      </w:rPr>
      <w:t>4</w:t>
    </w:r>
    <w:r w:rsidRPr="00CF485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B1810" w:rsidRPr="008B1810" w:rsidRDefault="008B1810" w:rsidP="008B1810">
    <w:pPr>
      <w:pStyle w:val="Header"/>
      <w:spacing w:line="480" w:lineRule="auto"/>
      <w:rPr>
        <w:rFonts w:ascii="Times New Roman" w:hAnsi="Times New Roman" w:cs="Times New Roman"/>
        <w:sz w:val="24"/>
        <w:szCs w:val="24"/>
      </w:rPr>
    </w:pPr>
    <w:r w:rsidRPr="008B1810">
      <w:rPr>
        <w:rFonts w:ascii="Times New Roman" w:hAnsi="Times New Roman" w:cs="Times New Roman"/>
        <w:sz w:val="24"/>
        <w:szCs w:val="24"/>
      </w:rPr>
      <w:t>RUNNING HEAD: ANNOTATED BIBLIOGRAPHY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810"/>
    <w:rsid w:val="000C0423"/>
    <w:rsid w:val="00174D06"/>
    <w:rsid w:val="0017652B"/>
    <w:rsid w:val="001A5C3C"/>
    <w:rsid w:val="002739BE"/>
    <w:rsid w:val="00273C48"/>
    <w:rsid w:val="00277E08"/>
    <w:rsid w:val="003922DA"/>
    <w:rsid w:val="004A3869"/>
    <w:rsid w:val="004F08C5"/>
    <w:rsid w:val="00506F99"/>
    <w:rsid w:val="00594514"/>
    <w:rsid w:val="006F265E"/>
    <w:rsid w:val="008124B8"/>
    <w:rsid w:val="008214C1"/>
    <w:rsid w:val="008B1810"/>
    <w:rsid w:val="00A57CE2"/>
    <w:rsid w:val="00B9735C"/>
    <w:rsid w:val="00BD551A"/>
    <w:rsid w:val="00C361FE"/>
    <w:rsid w:val="00CD6DC5"/>
    <w:rsid w:val="00CE525D"/>
    <w:rsid w:val="00CF4856"/>
    <w:rsid w:val="00F17A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18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1810"/>
  </w:style>
  <w:style w:type="paragraph" w:styleId="Footer">
    <w:name w:val="footer"/>
    <w:basedOn w:val="Normal"/>
    <w:link w:val="FooterChar"/>
    <w:uiPriority w:val="99"/>
    <w:unhideWhenUsed/>
    <w:rsid w:val="008B18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18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778</Words>
  <Characters>4437</Characters>
  <Application>Microsoft Office Word</Application>
  <DocSecurity>0</DocSecurity>
  <Lines>36</Lines>
  <Paragraphs>10</Paragraphs>
  <ScaleCrop>false</ScaleCrop>
  <Company/>
  <LinksUpToDate>false</LinksUpToDate>
  <CharactersWithSpaces>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2017-11-07T13:07:00Z</dcterms:created>
  <dcterms:modified xsi:type="dcterms:W3CDTF">2017-11-07T13:07:00Z</dcterms:modified>
</cp:coreProperties>
</file>